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03" w:rsidRDefault="00CB54BB">
      <w:pPr>
        <w:ind w:left="10"/>
        <w:rPr>
          <w:sz w:val="20"/>
          <w:szCs w:val="20"/>
        </w:rPr>
      </w:pPr>
      <w:bookmarkStart w:id="0" w:name="page3"/>
      <w:bookmarkEnd w:id="0"/>
      <w:r>
        <w:rPr>
          <w:rFonts w:ascii="Arial" w:eastAsia="Arial" w:hAnsi="Arial" w:cs="Arial"/>
          <w:b/>
          <w:bCs/>
          <w:sz w:val="15"/>
          <w:szCs w:val="15"/>
        </w:rPr>
        <w:t>Obecné podmínky přepravní smlouvy:</w:t>
      </w:r>
    </w:p>
    <w:p w:rsidR="005E7103" w:rsidRDefault="005E7103">
      <w:pPr>
        <w:spacing w:line="152" w:lineRule="exact"/>
        <w:rPr>
          <w:sz w:val="20"/>
          <w:szCs w:val="20"/>
        </w:rPr>
      </w:pPr>
    </w:p>
    <w:p w:rsidR="005E7103" w:rsidRDefault="00CB54BB">
      <w:pPr>
        <w:numPr>
          <w:ilvl w:val="0"/>
          <w:numId w:val="1"/>
        </w:numPr>
        <w:tabs>
          <w:tab w:val="left" w:pos="270"/>
        </w:tabs>
        <w:spacing w:line="277" w:lineRule="auto"/>
        <w:ind w:left="270" w:right="480" w:hanging="18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Touto přepravní smlouvou se dopravce zavazuje provést pro objednatele (dále také jako „zadavatel“) s odbornou péčí přepravu zásilky z místa nakládky do místa vykládky, to za podmínek sjednaných tou</w:t>
      </w:r>
      <w:r>
        <w:rPr>
          <w:rFonts w:ascii="Arial" w:eastAsia="Arial" w:hAnsi="Arial" w:cs="Arial"/>
          <w:sz w:val="15"/>
          <w:szCs w:val="15"/>
        </w:rPr>
        <w:t>to smlouvou, a odpovídá za vzniklé škody na zásilce od okamžiku převzetí zásilky dopravcem do jejího vydání příjemci. Uzavřením smlouvy, popř. nejpozději převzetím zásilky, dopravce potvrzuje, že mu jsou známy veškeré bezpečnostní a právní předpisy pro pro</w:t>
      </w:r>
      <w:r>
        <w:rPr>
          <w:rFonts w:ascii="Arial" w:eastAsia="Arial" w:hAnsi="Arial" w:cs="Arial"/>
          <w:sz w:val="15"/>
          <w:szCs w:val="15"/>
        </w:rPr>
        <w:t>vádění přepravy a zavazuje se tyto předpisy dodržovat. Dopravce se zavazuje k přepravě vždy zajistit nákladní list ve smyslu Úmluvy CMR (dále jen „CMR list“).</w:t>
      </w:r>
    </w:p>
    <w:p w:rsidR="005E7103" w:rsidRDefault="005E7103">
      <w:pPr>
        <w:spacing w:line="2" w:lineRule="exact"/>
        <w:rPr>
          <w:rFonts w:ascii="Arial" w:eastAsia="Arial" w:hAnsi="Arial" w:cs="Arial"/>
          <w:sz w:val="15"/>
          <w:szCs w:val="15"/>
        </w:rPr>
      </w:pPr>
    </w:p>
    <w:p w:rsidR="005E7103" w:rsidRDefault="00CB54BB">
      <w:pPr>
        <w:numPr>
          <w:ilvl w:val="0"/>
          <w:numId w:val="1"/>
        </w:numPr>
        <w:tabs>
          <w:tab w:val="left" w:pos="270"/>
        </w:tabs>
        <w:spacing w:line="277" w:lineRule="auto"/>
        <w:ind w:left="270" w:right="120" w:hanging="18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Dopravce se zavazuje mít platné pojištění odpovědnosti dopravce pro sjednaný druh přepravy, kter</w:t>
      </w:r>
      <w:r>
        <w:rPr>
          <w:rFonts w:ascii="Arial" w:eastAsia="Arial" w:hAnsi="Arial" w:cs="Arial"/>
          <w:sz w:val="15"/>
          <w:szCs w:val="15"/>
        </w:rPr>
        <w:t>é kryje plně jeho odpovědnost, nejméně však ve výši 5</w:t>
      </w:r>
      <w:r>
        <w:rPr>
          <w:rFonts w:ascii="Arial" w:eastAsia="Arial" w:hAnsi="Arial" w:cs="Arial"/>
          <w:sz w:val="15"/>
          <w:szCs w:val="15"/>
        </w:rPr>
        <w:t xml:space="preserve"> mil. Kč, zahrnující zejména pojištění odpovědnosti za ztrátu a/nebo poškození zásilky či její části, jakož i pojištění na hodnotu přepravované zásilky dle čl. 24 Úmluvy CMR a pojištění zvláštního zájmu</w:t>
      </w:r>
      <w:r>
        <w:rPr>
          <w:rFonts w:ascii="Arial" w:eastAsia="Arial" w:hAnsi="Arial" w:cs="Arial"/>
          <w:sz w:val="15"/>
          <w:szCs w:val="15"/>
        </w:rPr>
        <w:t xml:space="preserve"> na dodání dle čl. 26 Úmluvy CMR, každé ve výši 5</w:t>
      </w:r>
      <w:r>
        <w:rPr>
          <w:rFonts w:ascii="Arial" w:eastAsia="Arial" w:hAnsi="Arial" w:cs="Arial"/>
          <w:sz w:val="15"/>
          <w:szCs w:val="15"/>
        </w:rPr>
        <w:t xml:space="preserve"> mil. Kč, nesjednají-li strany výslovně jinak. Dopravce se zavazuje za zadavatele uvést do nákladního listu CMR doložku čl. 24 Úmluvy CMR - cenu zásilky ve výši 5</w:t>
      </w:r>
      <w:r>
        <w:rPr>
          <w:rFonts w:ascii="Arial" w:eastAsia="Arial" w:hAnsi="Arial" w:cs="Arial"/>
          <w:sz w:val="15"/>
          <w:szCs w:val="15"/>
        </w:rPr>
        <w:t xml:space="preserve"> mil. Kč a doložku čl. 26 odst. 2 Úmluvy CM</w:t>
      </w:r>
      <w:r>
        <w:rPr>
          <w:rFonts w:ascii="Arial" w:eastAsia="Arial" w:hAnsi="Arial" w:cs="Arial"/>
          <w:sz w:val="15"/>
          <w:szCs w:val="15"/>
        </w:rPr>
        <w:t>R – zvláštní zájem na dodání ve výši 5</w:t>
      </w:r>
      <w:r>
        <w:rPr>
          <w:rFonts w:ascii="Arial" w:eastAsia="Arial" w:hAnsi="Arial" w:cs="Arial"/>
          <w:sz w:val="15"/>
          <w:szCs w:val="15"/>
        </w:rPr>
        <w:t xml:space="preserve"> mil. Kč, nesjednají-li strany výslovně jinak.</w:t>
      </w:r>
    </w:p>
    <w:p w:rsidR="005E7103" w:rsidRDefault="005E7103">
      <w:pPr>
        <w:spacing w:line="2" w:lineRule="exact"/>
        <w:rPr>
          <w:rFonts w:ascii="Arial" w:eastAsia="Arial" w:hAnsi="Arial" w:cs="Arial"/>
          <w:sz w:val="15"/>
          <w:szCs w:val="15"/>
        </w:rPr>
      </w:pPr>
    </w:p>
    <w:p w:rsidR="005E7103" w:rsidRDefault="00CB54BB">
      <w:pPr>
        <w:numPr>
          <w:ilvl w:val="0"/>
          <w:numId w:val="1"/>
        </w:numPr>
        <w:tabs>
          <w:tab w:val="left" w:pos="270"/>
        </w:tabs>
        <w:spacing w:line="277" w:lineRule="auto"/>
        <w:ind w:left="270" w:right="140" w:hanging="18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Dopravce není oprávněn bez písemného souhlasu zadavatele k zásilce doložit žádnou jinou zásilku a/nebo něco jiného a/nebo připojit další vozidlo, zásilku přeložit na jin</w:t>
      </w:r>
      <w:r>
        <w:rPr>
          <w:rFonts w:ascii="Arial" w:eastAsia="Arial" w:hAnsi="Arial" w:cs="Arial"/>
          <w:sz w:val="15"/>
          <w:szCs w:val="15"/>
        </w:rPr>
        <w:t>é vozidlo ani není oprávněn použít k provedení přepravy zásilky jiného dopravce, subdodavatele a/nebo pomocníka. Poruší-li dopravce jakýkoli závazek dle předchozí věty, zadavateli vzniká právo na smluvní pokutu ve výši desetinásobku přepravného za každé je</w:t>
      </w:r>
      <w:r>
        <w:rPr>
          <w:rFonts w:ascii="Arial" w:eastAsia="Arial" w:hAnsi="Arial" w:cs="Arial"/>
          <w:sz w:val="15"/>
          <w:szCs w:val="15"/>
        </w:rPr>
        <w:t>dnotlivé porušení a dopravce se zavazuje smluvní pokutu uhradit.</w:t>
      </w:r>
    </w:p>
    <w:p w:rsidR="005E7103" w:rsidRDefault="005E7103">
      <w:pPr>
        <w:spacing w:line="1" w:lineRule="exact"/>
        <w:rPr>
          <w:rFonts w:ascii="Arial" w:eastAsia="Arial" w:hAnsi="Arial" w:cs="Arial"/>
          <w:sz w:val="15"/>
          <w:szCs w:val="15"/>
        </w:rPr>
      </w:pPr>
    </w:p>
    <w:p w:rsidR="005E7103" w:rsidRDefault="00CB54BB">
      <w:pPr>
        <w:numPr>
          <w:ilvl w:val="0"/>
          <w:numId w:val="1"/>
        </w:numPr>
        <w:tabs>
          <w:tab w:val="left" w:pos="270"/>
        </w:tabs>
        <w:spacing w:line="277" w:lineRule="auto"/>
        <w:ind w:left="270" w:right="120" w:hanging="18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V případě jakýchkoliv problémů a/nebo nejasností vzniklých nebo zjištěných během přepravy, to včetně případného ohrožení sjednaných termínů nakládky/vykládky, se zavazuje dopravce neprodleně</w:t>
      </w:r>
      <w:r>
        <w:rPr>
          <w:rFonts w:ascii="Arial" w:eastAsia="Arial" w:hAnsi="Arial" w:cs="Arial"/>
          <w:sz w:val="15"/>
          <w:szCs w:val="15"/>
        </w:rPr>
        <w:t xml:space="preserve"> informovat zadavatele o těchto skutečnostech. Dopravce se zavazuje informovat zadavatele o jakékoli skutečnosti vzniklé nebo zjištěné během přepravy, která je v rozporu s podmínkami této smlouvy, a zavazuje se zadavatele průběžně informovat o průběhu přep</w:t>
      </w:r>
      <w:r>
        <w:rPr>
          <w:rFonts w:ascii="Arial" w:eastAsia="Arial" w:hAnsi="Arial" w:cs="Arial"/>
          <w:sz w:val="15"/>
          <w:szCs w:val="15"/>
        </w:rPr>
        <w:t>ravy (přesný čas nakládky/vykládky, čas, vznik a důvod prostojů, čas zaclení/vyclení apod.).</w:t>
      </w:r>
    </w:p>
    <w:p w:rsidR="005E7103" w:rsidRDefault="005E7103">
      <w:pPr>
        <w:spacing w:line="1" w:lineRule="exact"/>
        <w:rPr>
          <w:rFonts w:ascii="Arial" w:eastAsia="Arial" w:hAnsi="Arial" w:cs="Arial"/>
          <w:sz w:val="15"/>
          <w:szCs w:val="15"/>
        </w:rPr>
      </w:pPr>
    </w:p>
    <w:p w:rsidR="005E7103" w:rsidRDefault="00CB54BB">
      <w:pPr>
        <w:numPr>
          <w:ilvl w:val="0"/>
          <w:numId w:val="1"/>
        </w:numPr>
        <w:tabs>
          <w:tab w:val="left" w:pos="270"/>
        </w:tabs>
        <w:spacing w:line="277" w:lineRule="auto"/>
        <w:ind w:left="270" w:right="480" w:hanging="18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Přepravní smlouva je uzavřena okamžikem přijetí - potvrzení objednávky dopravcem (písemně/emailem/telefonicky), a nepotvrdí-li dopravce objednávku, pak nejpozději</w:t>
      </w:r>
      <w:r>
        <w:rPr>
          <w:rFonts w:ascii="Arial" w:eastAsia="Arial" w:hAnsi="Arial" w:cs="Arial"/>
          <w:sz w:val="15"/>
          <w:szCs w:val="15"/>
        </w:rPr>
        <w:t xml:space="preserve"> v okamžiku, kdy dopravce přistaví vozidlo k nakládce, když smluvní strany sjednávají, že obsah této smlouvy je tak konkludentně potvrzen dopravcem.</w:t>
      </w:r>
    </w:p>
    <w:p w:rsidR="005E7103" w:rsidRDefault="005E7103">
      <w:pPr>
        <w:spacing w:line="1" w:lineRule="exact"/>
        <w:rPr>
          <w:rFonts w:ascii="Arial" w:eastAsia="Arial" w:hAnsi="Arial" w:cs="Arial"/>
          <w:sz w:val="15"/>
          <w:szCs w:val="15"/>
        </w:rPr>
      </w:pPr>
    </w:p>
    <w:p w:rsidR="005E7103" w:rsidRDefault="00CB54BB">
      <w:pPr>
        <w:numPr>
          <w:ilvl w:val="0"/>
          <w:numId w:val="1"/>
        </w:numPr>
        <w:tabs>
          <w:tab w:val="left" w:pos="270"/>
        </w:tabs>
        <w:spacing w:line="277" w:lineRule="auto"/>
        <w:ind w:left="270" w:right="100" w:hanging="18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Splatnost přepravného smluvní strany sjednávají v délce 60 dnů od doručení řádné a čitelné faktury dopravc</w:t>
      </w:r>
      <w:r>
        <w:rPr>
          <w:rFonts w:ascii="Arial" w:eastAsia="Arial" w:hAnsi="Arial" w:cs="Arial"/>
          <w:sz w:val="15"/>
          <w:szCs w:val="15"/>
        </w:rPr>
        <w:t xml:space="preserve">e zadavateli na doručovací adresu zadavatele obsahující správnou částku přepravného včetně správné výše DPH, případnou informaci o faktoringu, byl- li výslovně dohodnut v této smlouvě, včetně 2 ks potvrzených originálů CMR listů, dodacích listů, byly – li </w:t>
      </w:r>
      <w:r>
        <w:rPr>
          <w:rFonts w:ascii="Arial" w:eastAsia="Arial" w:hAnsi="Arial" w:cs="Arial"/>
          <w:sz w:val="15"/>
          <w:szCs w:val="15"/>
        </w:rPr>
        <w:t>součástí dokladů předávaných dopravci při nakládce, a ostatních dokladů, jsou-li sjednány v této smlouvě, přičemž všechny tyto doklady musí být čitelné, náležitě vyplněny, potvrzeny a podepsány běžným způsobem a způsobem odpovídajícím Úmluvě CMR, faktura m</w:t>
      </w:r>
      <w:r>
        <w:rPr>
          <w:rFonts w:ascii="Arial" w:eastAsia="Arial" w:hAnsi="Arial" w:cs="Arial"/>
          <w:sz w:val="15"/>
          <w:szCs w:val="15"/>
        </w:rPr>
        <w:t>usí obsahovat číslo přepravní smlouvy zadavatele (dále jen „přepravní doklady“); nejsou-li splněny veškeré podmínky dle tohoto ujednání, je a) zadavatel oprávněn fakturu dopravci vrátit k přepracování s tím, že pro splatnost opravené a/nebo řádnými doklady</w:t>
      </w:r>
      <w:r>
        <w:rPr>
          <w:rFonts w:ascii="Arial" w:eastAsia="Arial" w:hAnsi="Arial" w:cs="Arial"/>
          <w:sz w:val="15"/>
          <w:szCs w:val="15"/>
        </w:rPr>
        <w:t xml:space="preserve"> doložené faktury platí toto ujednání a zároveň b) je oprávněn za administrativní zátěž ekonomického oddělení spojenou s porušením povinnosti dopravce dle tohoto ujednání požadovat po dopravci úhradu těchto nákladů sjednaných dohodou stran paušální částkou</w:t>
      </w:r>
      <w:r>
        <w:rPr>
          <w:rFonts w:ascii="Arial" w:eastAsia="Arial" w:hAnsi="Arial" w:cs="Arial"/>
          <w:sz w:val="15"/>
          <w:szCs w:val="15"/>
        </w:rPr>
        <w:t xml:space="preserve"> ve výši 250 Kč (dále jen „administrativní poplatek“). Dopravce se zavazuje fakturu a přepravní doklady dle tohoto ujednání dodat zadavateli nejpozději do 21 dnů ode dne ukončení přepravy; nedodá-li dopravce fakturu a přepravní doklady zadavateli nejpozděj</w:t>
      </w:r>
      <w:r>
        <w:rPr>
          <w:rFonts w:ascii="Arial" w:eastAsia="Arial" w:hAnsi="Arial" w:cs="Arial"/>
          <w:sz w:val="15"/>
          <w:szCs w:val="15"/>
        </w:rPr>
        <w:t>i do 21 dnů ode dne ukončení přepravy, vzniká zadavateli právo na smluvní pokutu ve výši 30 % ze sjednaného přepravného.</w:t>
      </w:r>
    </w:p>
    <w:p w:rsidR="005E7103" w:rsidRDefault="005E7103">
      <w:pPr>
        <w:spacing w:line="4" w:lineRule="exact"/>
        <w:rPr>
          <w:rFonts w:ascii="Arial" w:eastAsia="Arial" w:hAnsi="Arial" w:cs="Arial"/>
          <w:sz w:val="15"/>
          <w:szCs w:val="15"/>
        </w:rPr>
      </w:pPr>
    </w:p>
    <w:p w:rsidR="005E7103" w:rsidRDefault="00CB54BB">
      <w:pPr>
        <w:numPr>
          <w:ilvl w:val="0"/>
          <w:numId w:val="1"/>
        </w:numPr>
        <w:tabs>
          <w:tab w:val="left" w:pos="270"/>
        </w:tabs>
        <w:spacing w:line="277" w:lineRule="auto"/>
        <w:ind w:left="270" w:right="80" w:hanging="18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Odpovědnost zadavatele za škodu vzniklou dopravci v důsledku prodlení s nakládkou a/nebo clením a/nebo vykládkou aj. (dále jen „prosto</w:t>
      </w:r>
      <w:r>
        <w:rPr>
          <w:rFonts w:ascii="Arial" w:eastAsia="Arial" w:hAnsi="Arial" w:cs="Arial"/>
          <w:sz w:val="15"/>
          <w:szCs w:val="15"/>
        </w:rPr>
        <w:t>j“), není-li za takový prostoj odpovědný sám dopravce, je omezena dohodou stran na částku ve výši 300,- Kč za každý, byť jen započatý, den prostoje, přičemž taková škoda musí být náležitě dopravcem doložena potvrzením o prostoji a důvodech prostoje, zárove</w:t>
      </w:r>
      <w:r>
        <w:rPr>
          <w:rFonts w:ascii="Arial" w:eastAsia="Arial" w:hAnsi="Arial" w:cs="Arial"/>
          <w:sz w:val="15"/>
          <w:szCs w:val="15"/>
        </w:rPr>
        <w:t>ň musí zadavatel být o prostoji neprodleně informován písemně/emailem, a to nejpozději do 12 hodin od jejich vzniku. Prostoje v rozsahu nepřekračující v jednotlivém případě 24 hodin jsou zohledněny již v ceně přepravy.</w:t>
      </w:r>
    </w:p>
    <w:p w:rsidR="005E7103" w:rsidRDefault="005E7103">
      <w:pPr>
        <w:spacing w:line="2" w:lineRule="exact"/>
        <w:rPr>
          <w:rFonts w:ascii="Arial" w:eastAsia="Arial" w:hAnsi="Arial" w:cs="Arial"/>
          <w:sz w:val="15"/>
          <w:szCs w:val="15"/>
        </w:rPr>
      </w:pPr>
    </w:p>
    <w:p w:rsidR="005E7103" w:rsidRDefault="00CB54BB">
      <w:pPr>
        <w:numPr>
          <w:ilvl w:val="0"/>
          <w:numId w:val="1"/>
        </w:numPr>
        <w:tabs>
          <w:tab w:val="left" w:pos="270"/>
        </w:tabs>
        <w:spacing w:line="277" w:lineRule="auto"/>
        <w:ind w:left="270" w:hanging="18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Dopravce se zavazuje účastnit se nak</w:t>
      </w:r>
      <w:r>
        <w:rPr>
          <w:rFonts w:ascii="Arial" w:eastAsia="Arial" w:hAnsi="Arial" w:cs="Arial"/>
          <w:sz w:val="15"/>
          <w:szCs w:val="15"/>
        </w:rPr>
        <w:t>ládky a vykládky, postupovat dle čl. 8 Úmluvy CMR, zapsat do CMR listu doložky čl. 24 a čl. 26 Úmluvy CMR dle této smlouvy, zkontrolovat počet kusů a označení zásilky, zjevný stav zásilky, obalu zásilky a způsob uložení na vozidle. V případě, že nebude moc</w:t>
      </w:r>
      <w:r>
        <w:rPr>
          <w:rFonts w:ascii="Arial" w:eastAsia="Arial" w:hAnsi="Arial" w:cs="Arial"/>
          <w:sz w:val="15"/>
          <w:szCs w:val="15"/>
        </w:rPr>
        <w:t>i dopravce toto provést, zavazuje se učinit písemnou výhradu do listu CMR, a to slovně s odůvodněním. Při špatném uložení zásilky se dopravce zavazuje upozornit odesílatele s výzvou k nápravě, a pokud odesílatel nepřeloží zásilku, tak informuje dopravce za</w:t>
      </w:r>
      <w:r>
        <w:rPr>
          <w:rFonts w:ascii="Arial" w:eastAsia="Arial" w:hAnsi="Arial" w:cs="Arial"/>
          <w:sz w:val="15"/>
          <w:szCs w:val="15"/>
        </w:rPr>
        <w:t>davatele a učiní písemnou výhradu do listu CMR. List CMR vyplňuje dopravce dle pokynů zadavatele a pokud dopravci nepředal list CMR odesílatel, tak se ho na vlastní náklady zavazuje vystavit a předložit odesílateli, to včetně zápisu sjednané výše doložky č</w:t>
      </w:r>
      <w:r>
        <w:rPr>
          <w:rFonts w:ascii="Arial" w:eastAsia="Arial" w:hAnsi="Arial" w:cs="Arial"/>
          <w:sz w:val="15"/>
          <w:szCs w:val="15"/>
        </w:rPr>
        <w:t>l. 24 a čl. 26 Úmluvy CMR dopravce.</w:t>
      </w:r>
    </w:p>
    <w:p w:rsidR="005E7103" w:rsidRDefault="005E7103">
      <w:pPr>
        <w:spacing w:line="2" w:lineRule="exact"/>
        <w:rPr>
          <w:rFonts w:ascii="Arial" w:eastAsia="Arial" w:hAnsi="Arial" w:cs="Arial"/>
          <w:sz w:val="15"/>
          <w:szCs w:val="15"/>
        </w:rPr>
      </w:pPr>
    </w:p>
    <w:p w:rsidR="005E7103" w:rsidRDefault="00CB54BB">
      <w:pPr>
        <w:numPr>
          <w:ilvl w:val="0"/>
          <w:numId w:val="1"/>
        </w:numPr>
        <w:tabs>
          <w:tab w:val="left" w:pos="270"/>
        </w:tabs>
        <w:spacing w:line="277" w:lineRule="auto"/>
        <w:ind w:left="270" w:right="160" w:hanging="18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Dopravce se zavazuje provést přepravu zásilky s maximální a odbornou potřebnou péčí tak, aby zásilka byla vystavována co nejmenším rizikům při přepravě, zejména se zavazuje volit pečlivě způsob přepravy, technicky a pro</w:t>
      </w:r>
      <w:r>
        <w:rPr>
          <w:rFonts w:ascii="Arial" w:eastAsia="Arial" w:hAnsi="Arial" w:cs="Arial"/>
          <w:sz w:val="15"/>
          <w:szCs w:val="15"/>
        </w:rPr>
        <w:t>vozně způsobilý typ vozidla pro bezpečnou přepravu zásilky, trasu přepravy, posádku vozidla nejméně 2 člennou a místa pro zastavení vozidla, jakož i dle charakteru zásilky zabezpečit ochranu zásilky při zastavení vozidla. Dle dohody stran platí, že zásilka</w:t>
      </w:r>
      <w:r>
        <w:rPr>
          <w:rFonts w:ascii="Arial" w:eastAsia="Arial" w:hAnsi="Arial" w:cs="Arial"/>
          <w:sz w:val="15"/>
          <w:szCs w:val="15"/>
        </w:rPr>
        <w:t xml:space="preserve"> je velmi cennou, není-li výslovně sjednáno jinak.</w:t>
      </w:r>
    </w:p>
    <w:p w:rsidR="005E7103" w:rsidRDefault="005E7103">
      <w:pPr>
        <w:spacing w:line="1" w:lineRule="exact"/>
        <w:rPr>
          <w:rFonts w:ascii="Arial" w:eastAsia="Arial" w:hAnsi="Arial" w:cs="Arial"/>
          <w:sz w:val="15"/>
          <w:szCs w:val="15"/>
        </w:rPr>
      </w:pPr>
    </w:p>
    <w:p w:rsidR="005E7103" w:rsidRDefault="00CB54BB">
      <w:pPr>
        <w:numPr>
          <w:ilvl w:val="0"/>
          <w:numId w:val="1"/>
        </w:numPr>
        <w:tabs>
          <w:tab w:val="left" w:pos="270"/>
        </w:tabs>
        <w:spacing w:line="277" w:lineRule="auto"/>
        <w:ind w:left="270" w:right="640" w:hanging="27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Dopravce odpovídá za řádné zajištění a upevnění zásilky v souladu s bezpečnostními i dopravními předpisy a zavazuje disponovat takovým zajišťovacím materiálem podle druhu nákladu. Dopravce se zavazuje </w:t>
      </w:r>
      <w:r>
        <w:rPr>
          <w:rFonts w:ascii="Arial" w:eastAsia="Arial" w:hAnsi="Arial" w:cs="Arial"/>
          <w:sz w:val="15"/>
          <w:szCs w:val="15"/>
        </w:rPr>
        <w:t>řádně provést veškerá celní a obdobná řízení prováděná při provádění přepravy.</w:t>
      </w:r>
    </w:p>
    <w:p w:rsidR="005E7103" w:rsidRDefault="005E7103">
      <w:pPr>
        <w:spacing w:line="1" w:lineRule="exact"/>
        <w:rPr>
          <w:rFonts w:ascii="Arial" w:eastAsia="Arial" w:hAnsi="Arial" w:cs="Arial"/>
          <w:sz w:val="15"/>
          <w:szCs w:val="15"/>
        </w:rPr>
      </w:pPr>
    </w:p>
    <w:p w:rsidR="005E7103" w:rsidRDefault="00CB54BB">
      <w:pPr>
        <w:numPr>
          <w:ilvl w:val="0"/>
          <w:numId w:val="1"/>
        </w:numPr>
        <w:tabs>
          <w:tab w:val="left" w:pos="270"/>
        </w:tabs>
        <w:spacing w:line="277" w:lineRule="auto"/>
        <w:ind w:left="270" w:right="40" w:hanging="27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Sjednaná cena za přepravu (přepravné) je smluvní cena, která zahrnuje veškeré poplatky související s přepravou zásilky, příplatek za sjednaný čl. 24 Úmluvy CMR (ve výši 5% z př</w:t>
      </w:r>
      <w:r>
        <w:rPr>
          <w:rFonts w:ascii="Arial" w:eastAsia="Arial" w:hAnsi="Arial" w:cs="Arial"/>
          <w:sz w:val="15"/>
          <w:szCs w:val="15"/>
        </w:rPr>
        <w:t>epravného), příplatek za sjednaný čl. 26 odst. 2 Úmluvy CMR (ve výši 5% z přepravného), příplatek za sjednanou konkurenční doložku, příplatek za použití hlídaných parkovišť, příplatek za provádění nakládky/vykládky zásilky a expresní příplatek. Jakékoliv d</w:t>
      </w:r>
      <w:r>
        <w:rPr>
          <w:rFonts w:ascii="Arial" w:eastAsia="Arial" w:hAnsi="Arial" w:cs="Arial"/>
          <w:sz w:val="15"/>
          <w:szCs w:val="15"/>
        </w:rPr>
        <w:t>alší navýšení sjednané ceny musí být písemně odsouhlaseno zadavatelem.</w:t>
      </w:r>
    </w:p>
    <w:p w:rsidR="005E7103" w:rsidRDefault="005E7103">
      <w:pPr>
        <w:spacing w:line="1" w:lineRule="exact"/>
        <w:rPr>
          <w:rFonts w:ascii="Arial" w:eastAsia="Arial" w:hAnsi="Arial" w:cs="Arial"/>
          <w:sz w:val="15"/>
          <w:szCs w:val="15"/>
        </w:rPr>
      </w:pPr>
    </w:p>
    <w:p w:rsidR="005E7103" w:rsidRDefault="00CB54BB">
      <w:pPr>
        <w:numPr>
          <w:ilvl w:val="0"/>
          <w:numId w:val="1"/>
        </w:numPr>
        <w:tabs>
          <w:tab w:val="left" w:pos="270"/>
        </w:tabs>
        <w:spacing w:line="277" w:lineRule="auto"/>
        <w:ind w:left="270" w:hanging="27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Zadavateli vzniká právo na smluvní pokutu (i) ve výši sjednané ceny přepravy, a) neprovede-li dopravce řádnou kontrolu stavu zásilky či jejího obalu; b) neprovede-li dopravce kontrolu </w:t>
      </w:r>
      <w:r>
        <w:rPr>
          <w:rFonts w:ascii="Arial" w:eastAsia="Arial" w:hAnsi="Arial" w:cs="Arial"/>
          <w:sz w:val="15"/>
          <w:szCs w:val="15"/>
        </w:rPr>
        <w:t xml:space="preserve">uložení zásilky před zahájením přepravy; c) neinformuje-li dopravce včas zadavatele o rozporech listu CMR s touto smlouvou; d) nedodrží-li dopravce povinnost včas informovat zadavatele o ohrožení sjednaných termínů nakládky/vykládky; d) nemá-li dopravce k </w:t>
      </w:r>
      <w:r>
        <w:rPr>
          <w:rFonts w:ascii="Arial" w:eastAsia="Arial" w:hAnsi="Arial" w:cs="Arial"/>
          <w:sz w:val="15"/>
          <w:szCs w:val="15"/>
        </w:rPr>
        <w:t>dispozici a/nebo správně nepoužije nástroje k řádnému upevnění zásilky a/nebo řádné upevnění zásilky nezajistí; e) nedodá-li dopravce řádně a včas elektronicky zadavateli přepravní doklady; (ii) ve výši sjednané ceny přepravy za každých, byť jen započatých</w:t>
      </w:r>
      <w:r>
        <w:rPr>
          <w:rFonts w:ascii="Arial" w:eastAsia="Arial" w:hAnsi="Arial" w:cs="Arial"/>
          <w:sz w:val="15"/>
          <w:szCs w:val="15"/>
        </w:rPr>
        <w:t xml:space="preserve">, 6 hodin trvání prodlení dopravce s dohodnutým termínem nakládky; (iii) ve výši </w:t>
      </w:r>
      <w:bookmarkStart w:id="1" w:name="_GoBack"/>
      <w:r>
        <w:rPr>
          <w:rFonts w:ascii="Arial" w:eastAsia="Arial" w:hAnsi="Arial" w:cs="Arial"/>
          <w:sz w:val="15"/>
          <w:szCs w:val="15"/>
        </w:rPr>
        <w:t>10</w:t>
      </w:r>
      <w:bookmarkEnd w:id="1"/>
      <w:r>
        <w:rPr>
          <w:rFonts w:ascii="Arial" w:eastAsia="Arial" w:hAnsi="Arial" w:cs="Arial"/>
          <w:sz w:val="15"/>
          <w:szCs w:val="15"/>
        </w:rPr>
        <w:t xml:space="preserve"> (deseti) násobku sjednané ceny přepravy, neučiní-li dopravce sjednané zápisy do listu CMR (zejména doložku dle čl. 24 nebo 26 odst. 2 Úmluvy CMR), a dopravce se zavazuje ji</w:t>
      </w:r>
      <w:r>
        <w:rPr>
          <w:rFonts w:ascii="Arial" w:eastAsia="Arial" w:hAnsi="Arial" w:cs="Arial"/>
          <w:sz w:val="15"/>
          <w:szCs w:val="15"/>
        </w:rPr>
        <w:t xml:space="preserve"> zadavateli uhradit.</w:t>
      </w:r>
    </w:p>
    <w:p w:rsidR="005E7103" w:rsidRDefault="005E7103">
      <w:pPr>
        <w:spacing w:line="2" w:lineRule="exact"/>
        <w:rPr>
          <w:rFonts w:ascii="Arial" w:eastAsia="Arial" w:hAnsi="Arial" w:cs="Arial"/>
          <w:sz w:val="15"/>
          <w:szCs w:val="15"/>
        </w:rPr>
      </w:pPr>
    </w:p>
    <w:p w:rsidR="005E7103" w:rsidRDefault="00CB54BB">
      <w:pPr>
        <w:numPr>
          <w:ilvl w:val="0"/>
          <w:numId w:val="1"/>
        </w:numPr>
        <w:tabs>
          <w:tab w:val="left" w:pos="270"/>
        </w:tabs>
        <w:spacing w:line="277" w:lineRule="auto"/>
        <w:ind w:left="270" w:right="20" w:hanging="27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Údaje o osobách (odesílatel/příjemce), místu nakládky či vykládky, přepravné či specifických podmínkách přepravy, které byly dopravci sděleny při sjednávání smlouvy o přepravě a/nebo v průběhu přepravy a/nebo které vyplývají z dokladů</w:t>
      </w:r>
      <w:r>
        <w:rPr>
          <w:rFonts w:ascii="Arial" w:eastAsia="Arial" w:hAnsi="Arial" w:cs="Arial"/>
          <w:sz w:val="15"/>
          <w:szCs w:val="15"/>
        </w:rPr>
        <w:t xml:space="preserve"> předaných dopravci v souvislosti s přepravou, představují součást obchodního tajemství zadavatele přepravy, a dopravce se zavazuje tyto informace nesdělovat třetím osobám ani je nijak jinak pro sebe nevyužit, když je smí využít výhradně k plnění této přep</w:t>
      </w:r>
      <w:r>
        <w:rPr>
          <w:rFonts w:ascii="Arial" w:eastAsia="Arial" w:hAnsi="Arial" w:cs="Arial"/>
          <w:sz w:val="15"/>
          <w:szCs w:val="15"/>
        </w:rPr>
        <w:t>ravní smlouvy, to vše po dobu 3 (třech) let od získání takových informací. Jakékoliv neoprávněné využití těchto informací dopravcem či zpřístupnění jiným osobám je nekalou soutěží. Poruší-li dopravce závazek nezpřístupnit a/nebo nevyužít informace dle před</w:t>
      </w:r>
      <w:r>
        <w:rPr>
          <w:rFonts w:ascii="Arial" w:eastAsia="Arial" w:hAnsi="Arial" w:cs="Arial"/>
          <w:sz w:val="15"/>
          <w:szCs w:val="15"/>
        </w:rPr>
        <w:t>chozí věty, zadavateli vzniká právo na smluvní pokutu ve výši 1.000.000,- Kč (slovy: jeden milion korun českých) a dopravce se zavazuje ji uhradit.</w:t>
      </w:r>
    </w:p>
    <w:p w:rsidR="005E7103" w:rsidRDefault="005E7103">
      <w:pPr>
        <w:spacing w:line="2" w:lineRule="exact"/>
        <w:rPr>
          <w:rFonts w:ascii="Arial" w:eastAsia="Arial" w:hAnsi="Arial" w:cs="Arial"/>
          <w:sz w:val="15"/>
          <w:szCs w:val="15"/>
        </w:rPr>
      </w:pPr>
    </w:p>
    <w:p w:rsidR="005E7103" w:rsidRDefault="00CB54BB">
      <w:pPr>
        <w:numPr>
          <w:ilvl w:val="0"/>
          <w:numId w:val="1"/>
        </w:numPr>
        <w:tabs>
          <w:tab w:val="left" w:pos="270"/>
        </w:tabs>
        <w:spacing w:line="289" w:lineRule="auto"/>
        <w:ind w:left="270" w:right="100" w:hanging="27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V případě multimodální přepravy vykonává dopravce pouze dílčí část přepravy v sjednaném rozsahu a odpovídá </w:t>
      </w:r>
      <w:r>
        <w:rPr>
          <w:rFonts w:ascii="Arial" w:eastAsia="Arial" w:hAnsi="Arial" w:cs="Arial"/>
          <w:sz w:val="15"/>
          <w:szCs w:val="15"/>
        </w:rPr>
        <w:t>ve smyslu čl 34 a násl. Úmluvy CMR jako postupný dopravce. Dopravce je tedy povinen při převzetí nebo předání vozidla (tj. návěsu či přívěsu) se zásilkou řádně zkontrolovat zjevný stav vozidla, plomby či zámků vozidla a uvést veškeré nedostatky do listu CM</w:t>
      </w:r>
      <w:r>
        <w:rPr>
          <w:rFonts w:ascii="Arial" w:eastAsia="Arial" w:hAnsi="Arial" w:cs="Arial"/>
          <w:sz w:val="15"/>
          <w:szCs w:val="15"/>
        </w:rPr>
        <w:t>R, příp. kontrolního listu či obdobného předávacího protokolu, a v případě zjištění závady okamžitě informovat zadavatele. Neuvede-li dopravce při převzetí žádné výhrady, platí čl. 9 odst. 2 Úmluvy CMR.</w:t>
      </w:r>
    </w:p>
    <w:p w:rsidR="005E7103" w:rsidRDefault="005E7103">
      <w:pPr>
        <w:sectPr w:rsidR="005E7103">
          <w:pgSz w:w="11900" w:h="16838"/>
          <w:pgMar w:top="1109" w:right="846" w:bottom="443" w:left="850" w:header="0" w:footer="0" w:gutter="0"/>
          <w:cols w:space="708" w:equalWidth="0">
            <w:col w:w="10210"/>
          </w:cols>
        </w:sectPr>
      </w:pPr>
    </w:p>
    <w:p w:rsidR="005E7103" w:rsidRDefault="00CB54BB">
      <w:pPr>
        <w:numPr>
          <w:ilvl w:val="0"/>
          <w:numId w:val="2"/>
        </w:numPr>
        <w:tabs>
          <w:tab w:val="left" w:pos="270"/>
        </w:tabs>
        <w:spacing w:line="277" w:lineRule="auto"/>
        <w:ind w:left="270" w:right="180" w:hanging="270"/>
        <w:rPr>
          <w:rFonts w:ascii="Arial" w:eastAsia="Arial" w:hAnsi="Arial" w:cs="Arial"/>
          <w:sz w:val="15"/>
          <w:szCs w:val="15"/>
        </w:rPr>
      </w:pPr>
      <w:bookmarkStart w:id="2" w:name="page4"/>
      <w:bookmarkEnd w:id="2"/>
      <w:r>
        <w:rPr>
          <w:rFonts w:ascii="Arial" w:eastAsia="Arial" w:hAnsi="Arial" w:cs="Arial"/>
          <w:sz w:val="15"/>
          <w:szCs w:val="15"/>
        </w:rPr>
        <w:lastRenderedPageBreak/>
        <w:t xml:space="preserve">Odpovídá-li dopravce za škodu, </w:t>
      </w:r>
      <w:r>
        <w:rPr>
          <w:rFonts w:ascii="Arial" w:eastAsia="Arial" w:hAnsi="Arial" w:cs="Arial"/>
          <w:sz w:val="15"/>
          <w:szCs w:val="15"/>
        </w:rPr>
        <w:t xml:space="preserve">je zadavatel oprávněn použít všechny své pohledávky zadavatele vůči dopravci na jistotu ve smyslu § 2012 OZ k zajištění práva na náhradu škody do její předpokládané výše. Prokáže-li dopravce zadavateli, že vzniklá škoda bude kryta z pojištění odpovědnosti </w:t>
      </w:r>
      <w:r>
        <w:rPr>
          <w:rFonts w:ascii="Arial" w:eastAsia="Arial" w:hAnsi="Arial" w:cs="Arial"/>
          <w:sz w:val="15"/>
          <w:szCs w:val="15"/>
        </w:rPr>
        <w:t>dopravce, zadavatel jistotu uvolní; v opačném případě zadavatel uvolní jistotu až po uhrazení náhrady škody.</w:t>
      </w:r>
    </w:p>
    <w:p w:rsidR="005E7103" w:rsidRDefault="005E7103">
      <w:pPr>
        <w:spacing w:line="1" w:lineRule="exact"/>
        <w:rPr>
          <w:rFonts w:ascii="Arial" w:eastAsia="Arial" w:hAnsi="Arial" w:cs="Arial"/>
          <w:sz w:val="15"/>
          <w:szCs w:val="15"/>
        </w:rPr>
      </w:pPr>
    </w:p>
    <w:p w:rsidR="005E7103" w:rsidRDefault="00CB54BB">
      <w:pPr>
        <w:numPr>
          <w:ilvl w:val="0"/>
          <w:numId w:val="2"/>
        </w:numPr>
        <w:tabs>
          <w:tab w:val="left" w:pos="270"/>
        </w:tabs>
        <w:ind w:left="270" w:hanging="27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Dopravce není oprávněn postoupit jakoukoliv pohledávku za zadavatelem třetí osobě bez předchozího písemného souhlasu zadavatele.</w:t>
      </w:r>
    </w:p>
    <w:p w:rsidR="005E7103" w:rsidRDefault="005E7103">
      <w:pPr>
        <w:spacing w:line="27" w:lineRule="exact"/>
        <w:rPr>
          <w:rFonts w:ascii="Arial" w:eastAsia="Arial" w:hAnsi="Arial" w:cs="Arial"/>
          <w:sz w:val="15"/>
          <w:szCs w:val="15"/>
        </w:rPr>
      </w:pPr>
    </w:p>
    <w:p w:rsidR="005E7103" w:rsidRDefault="00CB54BB">
      <w:pPr>
        <w:numPr>
          <w:ilvl w:val="0"/>
          <w:numId w:val="2"/>
        </w:numPr>
        <w:tabs>
          <w:tab w:val="left" w:pos="270"/>
        </w:tabs>
        <w:ind w:left="270" w:hanging="27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Dopravce činí za</w:t>
      </w:r>
      <w:r>
        <w:rPr>
          <w:rFonts w:ascii="Arial" w:eastAsia="Arial" w:hAnsi="Arial" w:cs="Arial"/>
          <w:sz w:val="15"/>
          <w:szCs w:val="15"/>
        </w:rPr>
        <w:t>davateli slib odškodnění k náhradě škody (včetně nákladů na vymáhání škody), jenž zadavateli v souvislosti s přepravou vznikla.</w:t>
      </w:r>
    </w:p>
    <w:p w:rsidR="005E7103" w:rsidRDefault="005E7103">
      <w:pPr>
        <w:spacing w:line="27" w:lineRule="exact"/>
        <w:rPr>
          <w:rFonts w:ascii="Arial" w:eastAsia="Arial" w:hAnsi="Arial" w:cs="Arial"/>
          <w:sz w:val="15"/>
          <w:szCs w:val="15"/>
        </w:rPr>
      </w:pPr>
    </w:p>
    <w:p w:rsidR="005E7103" w:rsidRDefault="00CB54BB">
      <w:pPr>
        <w:numPr>
          <w:ilvl w:val="0"/>
          <w:numId w:val="2"/>
        </w:numPr>
        <w:tabs>
          <w:tab w:val="left" w:pos="270"/>
        </w:tabs>
        <w:spacing w:line="277" w:lineRule="auto"/>
        <w:ind w:left="270" w:right="320" w:hanging="27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Dopravce prohlašuje, že je schopen přepravu za sjednaných podmínek provést, zná, splňuje a zavazuje se dodržovat všechny zákonn</w:t>
      </w:r>
      <w:r>
        <w:rPr>
          <w:rFonts w:ascii="Arial" w:eastAsia="Arial" w:hAnsi="Arial" w:cs="Arial"/>
          <w:sz w:val="15"/>
          <w:szCs w:val="15"/>
        </w:rPr>
        <w:t>é předpisy dotčených zemí pro řádné vykonání mezinárodní přepravy.</w:t>
      </w:r>
    </w:p>
    <w:p w:rsidR="005E7103" w:rsidRDefault="00CB54BB">
      <w:pPr>
        <w:numPr>
          <w:ilvl w:val="0"/>
          <w:numId w:val="2"/>
        </w:numPr>
        <w:tabs>
          <w:tab w:val="left" w:pos="270"/>
        </w:tabs>
        <w:spacing w:line="277" w:lineRule="auto"/>
        <w:ind w:left="270" w:right="180" w:hanging="27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Tato smlouva nahrazuje veškerá předchozí jednání o této smlouvě, obsahuje plné znění přepravní smlouvy ve smyslu § 1740 odst. 3 a § 2555 OZ. Jakýkoliv návrh na změnu znění této smlouvy ze s</w:t>
      </w:r>
      <w:r>
        <w:rPr>
          <w:rFonts w:ascii="Arial" w:eastAsia="Arial" w:hAnsi="Arial" w:cs="Arial"/>
          <w:sz w:val="15"/>
          <w:szCs w:val="15"/>
        </w:rPr>
        <w:t>trany dopravce se považuje za dodatek k této smlouvě jen pokud byl písemně akceptován zadavatelem.</w:t>
      </w:r>
    </w:p>
    <w:p w:rsidR="005E7103" w:rsidRDefault="005E7103">
      <w:pPr>
        <w:spacing w:line="1" w:lineRule="exact"/>
        <w:rPr>
          <w:rFonts w:ascii="Arial" w:eastAsia="Arial" w:hAnsi="Arial" w:cs="Arial"/>
          <w:sz w:val="15"/>
          <w:szCs w:val="15"/>
        </w:rPr>
      </w:pPr>
    </w:p>
    <w:p w:rsidR="005E7103" w:rsidRDefault="00CB54BB">
      <w:pPr>
        <w:numPr>
          <w:ilvl w:val="0"/>
          <w:numId w:val="2"/>
        </w:numPr>
        <w:tabs>
          <w:tab w:val="left" w:pos="270"/>
        </w:tabs>
        <w:spacing w:line="277" w:lineRule="auto"/>
        <w:ind w:left="270" w:right="440" w:hanging="27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Smlouva se řídí zákonem č. 89/2012 Sb. (občanským zákoníkem, též jako „OZ“), Úmluvou o přepravní smlouvě v mezinárodní silniční nákladní dopravě (též jako „</w:t>
      </w:r>
      <w:r>
        <w:rPr>
          <w:rFonts w:ascii="Arial" w:eastAsia="Arial" w:hAnsi="Arial" w:cs="Arial"/>
          <w:sz w:val="15"/>
          <w:szCs w:val="15"/>
        </w:rPr>
        <w:t>Úmluva CMR“) a dalšími právními předpisy ČR a EU.</w:t>
      </w:r>
    </w:p>
    <w:p w:rsidR="005E7103" w:rsidRDefault="00CB54BB">
      <w:pPr>
        <w:numPr>
          <w:ilvl w:val="0"/>
          <w:numId w:val="2"/>
        </w:numPr>
        <w:tabs>
          <w:tab w:val="left" w:pos="270"/>
        </w:tabs>
        <w:spacing w:line="277" w:lineRule="auto"/>
        <w:ind w:left="270" w:right="140" w:hanging="27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Smluvní strany sjednávají, že zadavatel za jakékoli škody vzniklé dopravci odpovídá do výše 10.000,- Kč (slovy: deset tisíc korun českých), tedy smluvní strany výslovně sjednávají, že dopravce se vzdává prá</w:t>
      </w:r>
      <w:r>
        <w:rPr>
          <w:rFonts w:ascii="Arial" w:eastAsia="Arial" w:hAnsi="Arial" w:cs="Arial"/>
          <w:sz w:val="15"/>
          <w:szCs w:val="15"/>
        </w:rPr>
        <w:t>va na náhradu škody v rozsahu nad 10.000,- Kč. Pro vyloučení pochybností smluvní strany konstatují, že dopravcovo právo na náhradu škody zadavatelem se omezuje do výše 10.000,- Kč včetně. Zadavatel je oprávněn započítat jakékoli vzájemné nároky smluvních s</w:t>
      </w:r>
      <w:r>
        <w:rPr>
          <w:rFonts w:ascii="Arial" w:eastAsia="Arial" w:hAnsi="Arial" w:cs="Arial"/>
          <w:sz w:val="15"/>
          <w:szCs w:val="15"/>
        </w:rPr>
        <w:t>tran, a to i nesplatné.</w:t>
      </w:r>
    </w:p>
    <w:p w:rsidR="005E7103" w:rsidRDefault="005E7103">
      <w:pPr>
        <w:spacing w:line="1" w:lineRule="exact"/>
        <w:rPr>
          <w:rFonts w:ascii="Arial" w:eastAsia="Arial" w:hAnsi="Arial" w:cs="Arial"/>
          <w:sz w:val="15"/>
          <w:szCs w:val="15"/>
        </w:rPr>
      </w:pPr>
    </w:p>
    <w:p w:rsidR="005E7103" w:rsidRDefault="00CB54BB">
      <w:pPr>
        <w:numPr>
          <w:ilvl w:val="0"/>
          <w:numId w:val="2"/>
        </w:numPr>
        <w:tabs>
          <w:tab w:val="left" w:pos="270"/>
        </w:tabs>
        <w:spacing w:line="277" w:lineRule="auto"/>
        <w:ind w:left="270" w:right="200" w:hanging="27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Strany vylučují ust. § 2050 OZ a tedy sjednávají, že právo zadavatele na náhradu škody v plné výši není dotčeno ujednáním o smluvních pokutách sjednaných v této smlouvě. Výše jednotlivých smluvních pokut vyjadřuje zájem zadavatele </w:t>
      </w:r>
      <w:r>
        <w:rPr>
          <w:rFonts w:ascii="Arial" w:eastAsia="Arial" w:hAnsi="Arial" w:cs="Arial"/>
          <w:sz w:val="15"/>
          <w:szCs w:val="15"/>
        </w:rPr>
        <w:t xml:space="preserve">na řádném plnění této smlouvy a obě strany jsou s výší smluvní pokutou vyjádřeného zájmu srozuměny a akceptují danou výši jako přiměřenou. Smluvní pokuta je splatná 7 dní od odeslání výzvy zadavatele. Cenou přepravy pro účely určení výše smluvní pokuty se </w:t>
      </w:r>
      <w:r>
        <w:rPr>
          <w:rFonts w:ascii="Arial" w:eastAsia="Arial" w:hAnsi="Arial" w:cs="Arial"/>
          <w:sz w:val="15"/>
          <w:szCs w:val="15"/>
        </w:rPr>
        <w:t>rozumí sjednaná základní cena přepravného včetně DPH. Dopravce není povinen hradit smluvní pokuty sjednané touto přepravní smlouvou, pokud porušení jeho povinnosti bylo způsobeno vyšší mocí.</w:t>
      </w:r>
    </w:p>
    <w:p w:rsidR="005E7103" w:rsidRDefault="005E7103">
      <w:pPr>
        <w:spacing w:line="2" w:lineRule="exact"/>
        <w:rPr>
          <w:rFonts w:ascii="Arial" w:eastAsia="Arial" w:hAnsi="Arial" w:cs="Arial"/>
          <w:sz w:val="15"/>
          <w:szCs w:val="15"/>
        </w:rPr>
      </w:pPr>
    </w:p>
    <w:p w:rsidR="005E7103" w:rsidRDefault="00CB54BB">
      <w:pPr>
        <w:numPr>
          <w:ilvl w:val="0"/>
          <w:numId w:val="2"/>
        </w:numPr>
        <w:tabs>
          <w:tab w:val="left" w:pos="270"/>
        </w:tabs>
        <w:spacing w:line="277" w:lineRule="auto"/>
        <w:ind w:left="270" w:right="260" w:hanging="27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Smluvní strany sjednávají, že pro případ odlišného ujednání v té</w:t>
      </w:r>
      <w:r>
        <w:rPr>
          <w:rFonts w:ascii="Arial" w:eastAsia="Arial" w:hAnsi="Arial" w:cs="Arial"/>
          <w:sz w:val="15"/>
          <w:szCs w:val="15"/>
        </w:rPr>
        <w:t>to smlouvě se ujednání označená jako „Obecná ujednání přepravní smlouvy“ pod body 1 až 26 obsažená na posledních dvou stranách této smlouvy použijí v případě, že není jinde v této smlouvě ujednáno jinak, tedy ujednání obsažená v této smlouvě, jsou –li odli</w:t>
      </w:r>
      <w:r>
        <w:rPr>
          <w:rFonts w:ascii="Arial" w:eastAsia="Arial" w:hAnsi="Arial" w:cs="Arial"/>
          <w:sz w:val="15"/>
          <w:szCs w:val="15"/>
        </w:rPr>
        <w:t>šná od ujednání označených jako „Obecná ujednání přepravní smlouvy“ pod body 1 až 26 obsažených na posledních dvou stranách této smlouvy, nezpůsobují neplatnost takových ujednání, ale mají před ujednáními označenými jako „Obecná ujednání přepravní smlouvy“</w:t>
      </w:r>
      <w:r>
        <w:rPr>
          <w:rFonts w:ascii="Arial" w:eastAsia="Arial" w:hAnsi="Arial" w:cs="Arial"/>
          <w:sz w:val="15"/>
          <w:szCs w:val="15"/>
        </w:rPr>
        <w:t xml:space="preserve"> pod body 1 až 26 obsaženými na posledních dvou stranách této smlouvy přednost.</w:t>
      </w:r>
    </w:p>
    <w:p w:rsidR="005E7103" w:rsidRDefault="005E7103">
      <w:pPr>
        <w:spacing w:line="2" w:lineRule="exact"/>
        <w:rPr>
          <w:rFonts w:ascii="Arial" w:eastAsia="Arial" w:hAnsi="Arial" w:cs="Arial"/>
          <w:sz w:val="15"/>
          <w:szCs w:val="15"/>
        </w:rPr>
      </w:pPr>
    </w:p>
    <w:p w:rsidR="005E7103" w:rsidRDefault="00CB54BB">
      <w:pPr>
        <w:numPr>
          <w:ilvl w:val="0"/>
          <w:numId w:val="2"/>
        </w:numPr>
        <w:tabs>
          <w:tab w:val="left" w:pos="270"/>
        </w:tabs>
        <w:spacing w:line="277" w:lineRule="auto"/>
        <w:ind w:left="270" w:right="200" w:hanging="27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Jako právo rozhodné procesní i hmotné sjednávají smluvní strany právo české. Současně smluvní strany sjednávají místní příslušnost soudů pro řešení případných sporů z této sml</w:t>
      </w:r>
      <w:r>
        <w:rPr>
          <w:rFonts w:ascii="Arial" w:eastAsia="Arial" w:hAnsi="Arial" w:cs="Arial"/>
          <w:sz w:val="15"/>
          <w:szCs w:val="15"/>
        </w:rPr>
        <w:t>ouvy tak, že v případě příslušného okresního soudu je tímto soudem Okresní soud v Hradci Králové a v případě příslušného krajského soudu je tímto soudem Krajský soud v Hradci Králové.</w:t>
      </w:r>
    </w:p>
    <w:p w:rsidR="005E7103" w:rsidRDefault="005E7103">
      <w:pPr>
        <w:spacing w:line="1" w:lineRule="exact"/>
        <w:rPr>
          <w:rFonts w:ascii="Arial" w:eastAsia="Arial" w:hAnsi="Arial" w:cs="Arial"/>
          <w:sz w:val="15"/>
          <w:szCs w:val="15"/>
        </w:rPr>
      </w:pPr>
    </w:p>
    <w:p w:rsidR="005E7103" w:rsidRDefault="00CB54BB">
      <w:pPr>
        <w:numPr>
          <w:ilvl w:val="0"/>
          <w:numId w:val="2"/>
        </w:numPr>
        <w:tabs>
          <w:tab w:val="left" w:pos="270"/>
        </w:tabs>
        <w:ind w:left="270" w:hanging="27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Smluvní strany svým podpisem potvrzují, že si smlouvu řádně přečetly a </w:t>
      </w:r>
      <w:r>
        <w:rPr>
          <w:rFonts w:ascii="Arial" w:eastAsia="Arial" w:hAnsi="Arial" w:cs="Arial"/>
          <w:sz w:val="15"/>
          <w:szCs w:val="15"/>
        </w:rPr>
        <w:t>jsou srozuměny s jejím obsahem.</w:t>
      </w:r>
    </w:p>
    <w:p w:rsidR="005E7103" w:rsidRDefault="005E7103">
      <w:pPr>
        <w:spacing w:line="228" w:lineRule="exact"/>
        <w:rPr>
          <w:sz w:val="20"/>
          <w:szCs w:val="20"/>
        </w:rPr>
      </w:pPr>
    </w:p>
    <w:p w:rsidR="005E7103" w:rsidRDefault="005E7103" w:rsidP="00CB54BB">
      <w:pPr>
        <w:rPr>
          <w:sz w:val="20"/>
          <w:szCs w:val="20"/>
        </w:rPr>
      </w:pPr>
    </w:p>
    <w:sectPr w:rsidR="005E7103">
      <w:pgSz w:w="11900" w:h="16838"/>
      <w:pgMar w:top="909" w:right="866" w:bottom="1440" w:left="850" w:header="0" w:footer="0" w:gutter="0"/>
      <w:cols w:space="708" w:equalWidth="0">
        <w:col w:w="101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D95E90EE"/>
    <w:lvl w:ilvl="0" w:tplc="8BE2C958">
      <w:start w:val="1"/>
      <w:numFmt w:val="decimal"/>
      <w:lvlText w:val="%1."/>
      <w:lvlJc w:val="left"/>
    </w:lvl>
    <w:lvl w:ilvl="1" w:tplc="B6AEBEB8">
      <w:numFmt w:val="decimal"/>
      <w:lvlText w:val=""/>
      <w:lvlJc w:val="left"/>
    </w:lvl>
    <w:lvl w:ilvl="2" w:tplc="18E449EE">
      <w:numFmt w:val="decimal"/>
      <w:lvlText w:val=""/>
      <w:lvlJc w:val="left"/>
    </w:lvl>
    <w:lvl w:ilvl="3" w:tplc="C2C20B5C">
      <w:numFmt w:val="decimal"/>
      <w:lvlText w:val=""/>
      <w:lvlJc w:val="left"/>
    </w:lvl>
    <w:lvl w:ilvl="4" w:tplc="2AD2330E">
      <w:numFmt w:val="decimal"/>
      <w:lvlText w:val=""/>
      <w:lvlJc w:val="left"/>
    </w:lvl>
    <w:lvl w:ilvl="5" w:tplc="FA38CD0A">
      <w:numFmt w:val="decimal"/>
      <w:lvlText w:val=""/>
      <w:lvlJc w:val="left"/>
    </w:lvl>
    <w:lvl w:ilvl="6" w:tplc="AD46C122">
      <w:numFmt w:val="decimal"/>
      <w:lvlText w:val=""/>
      <w:lvlJc w:val="left"/>
    </w:lvl>
    <w:lvl w:ilvl="7" w:tplc="DD3E40A8">
      <w:numFmt w:val="decimal"/>
      <w:lvlText w:val=""/>
      <w:lvlJc w:val="left"/>
    </w:lvl>
    <w:lvl w:ilvl="8" w:tplc="CE58C266">
      <w:numFmt w:val="decimal"/>
      <w:lvlText w:val=""/>
      <w:lvlJc w:val="left"/>
    </w:lvl>
  </w:abstractNum>
  <w:abstractNum w:abstractNumId="1">
    <w:nsid w:val="66334873"/>
    <w:multiLevelType w:val="hybridMultilevel"/>
    <w:tmpl w:val="FFEA5A18"/>
    <w:lvl w:ilvl="0" w:tplc="ACAEFBBE">
      <w:start w:val="1"/>
      <w:numFmt w:val="decimal"/>
      <w:lvlText w:val="%1."/>
      <w:lvlJc w:val="left"/>
    </w:lvl>
    <w:lvl w:ilvl="1" w:tplc="5CC2D1B6">
      <w:numFmt w:val="decimal"/>
      <w:lvlText w:val=""/>
      <w:lvlJc w:val="left"/>
    </w:lvl>
    <w:lvl w:ilvl="2" w:tplc="B9BE22A4">
      <w:numFmt w:val="decimal"/>
      <w:lvlText w:val=""/>
      <w:lvlJc w:val="left"/>
    </w:lvl>
    <w:lvl w:ilvl="3" w:tplc="36B06F2A">
      <w:numFmt w:val="decimal"/>
      <w:lvlText w:val=""/>
      <w:lvlJc w:val="left"/>
    </w:lvl>
    <w:lvl w:ilvl="4" w:tplc="FF68C058">
      <w:numFmt w:val="decimal"/>
      <w:lvlText w:val=""/>
      <w:lvlJc w:val="left"/>
    </w:lvl>
    <w:lvl w:ilvl="5" w:tplc="6CBCCA26">
      <w:numFmt w:val="decimal"/>
      <w:lvlText w:val=""/>
      <w:lvlJc w:val="left"/>
    </w:lvl>
    <w:lvl w:ilvl="6" w:tplc="96B2A89E">
      <w:numFmt w:val="decimal"/>
      <w:lvlText w:val=""/>
      <w:lvlJc w:val="left"/>
    </w:lvl>
    <w:lvl w:ilvl="7" w:tplc="33800976">
      <w:numFmt w:val="decimal"/>
      <w:lvlText w:val=""/>
      <w:lvlJc w:val="left"/>
    </w:lvl>
    <w:lvl w:ilvl="8" w:tplc="5D3C3C9C">
      <w:numFmt w:val="decimal"/>
      <w:lvlText w:val=""/>
      <w:lvlJc w:val="left"/>
    </w:lvl>
  </w:abstractNum>
  <w:abstractNum w:abstractNumId="2">
    <w:nsid w:val="74B0DC51"/>
    <w:multiLevelType w:val="hybridMultilevel"/>
    <w:tmpl w:val="852A3022"/>
    <w:lvl w:ilvl="0" w:tplc="F200697A">
      <w:start w:val="15"/>
      <w:numFmt w:val="decimal"/>
      <w:lvlText w:val="%1."/>
      <w:lvlJc w:val="left"/>
    </w:lvl>
    <w:lvl w:ilvl="1" w:tplc="D1124208">
      <w:numFmt w:val="decimal"/>
      <w:lvlText w:val=""/>
      <w:lvlJc w:val="left"/>
    </w:lvl>
    <w:lvl w:ilvl="2" w:tplc="977860FA">
      <w:numFmt w:val="decimal"/>
      <w:lvlText w:val=""/>
      <w:lvlJc w:val="left"/>
    </w:lvl>
    <w:lvl w:ilvl="3" w:tplc="D29AD7C6">
      <w:numFmt w:val="decimal"/>
      <w:lvlText w:val=""/>
      <w:lvlJc w:val="left"/>
    </w:lvl>
    <w:lvl w:ilvl="4" w:tplc="44EA4552">
      <w:numFmt w:val="decimal"/>
      <w:lvlText w:val=""/>
      <w:lvlJc w:val="left"/>
    </w:lvl>
    <w:lvl w:ilvl="5" w:tplc="CF1613C6">
      <w:numFmt w:val="decimal"/>
      <w:lvlText w:val=""/>
      <w:lvlJc w:val="left"/>
    </w:lvl>
    <w:lvl w:ilvl="6" w:tplc="FF70F276">
      <w:numFmt w:val="decimal"/>
      <w:lvlText w:val=""/>
      <w:lvlJc w:val="left"/>
    </w:lvl>
    <w:lvl w:ilvl="7" w:tplc="4912B97C">
      <w:numFmt w:val="decimal"/>
      <w:lvlText w:val=""/>
      <w:lvlJc w:val="left"/>
    </w:lvl>
    <w:lvl w:ilvl="8" w:tplc="7910C51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03"/>
    <w:rsid w:val="005E7103"/>
    <w:rsid w:val="00CB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1889</Words>
  <Characters>11150</Characters>
  <Application>Microsoft Office Word</Application>
  <DocSecurity>0</DocSecurity>
  <Lines>92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Jiří Kukla</cp:lastModifiedBy>
  <cp:revision>2</cp:revision>
  <dcterms:created xsi:type="dcterms:W3CDTF">2022-08-09T10:03:00Z</dcterms:created>
  <dcterms:modified xsi:type="dcterms:W3CDTF">2022-08-09T10:03:00Z</dcterms:modified>
</cp:coreProperties>
</file>